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02F6" w14:textId="77777777" w:rsidR="001423EB" w:rsidRPr="001423EB" w:rsidRDefault="001423EB" w:rsidP="001423EB">
      <w:pPr>
        <w:shd w:val="clear" w:color="auto" w:fill="FFFFFF"/>
        <w:spacing w:after="225"/>
        <w:rPr>
          <w:rFonts w:ascii="Arial" w:hAnsi="Arial" w:cs="Arial"/>
          <w:b/>
          <w:color w:val="1D1D1D"/>
          <w:sz w:val="20"/>
          <w:szCs w:val="20"/>
          <w:lang w:eastAsia="en-GB"/>
        </w:rPr>
      </w:pPr>
      <w:r w:rsidRPr="001423EB">
        <w:rPr>
          <w:rFonts w:ascii="Arial" w:hAnsi="Arial" w:cs="Arial"/>
          <w:b/>
          <w:color w:val="1D1D1D"/>
          <w:sz w:val="20"/>
          <w:szCs w:val="20"/>
          <w:lang w:eastAsia="en-GB"/>
        </w:rPr>
        <w:t>D</w:t>
      </w:r>
      <w:r>
        <w:rPr>
          <w:rFonts w:ascii="Arial" w:hAnsi="Arial" w:cs="Arial"/>
          <w:b/>
          <w:color w:val="1D1D1D"/>
          <w:sz w:val="20"/>
          <w:szCs w:val="20"/>
          <w:lang w:eastAsia="en-GB"/>
        </w:rPr>
        <w:t>ata Protection Impact Assessment (D</w:t>
      </w:r>
      <w:r w:rsidRPr="001423EB">
        <w:rPr>
          <w:rFonts w:ascii="Arial" w:hAnsi="Arial" w:cs="Arial"/>
          <w:b/>
          <w:color w:val="1D1D1D"/>
          <w:sz w:val="20"/>
          <w:szCs w:val="20"/>
          <w:lang w:eastAsia="en-GB"/>
        </w:rPr>
        <w:t>PIA</w:t>
      </w:r>
      <w:r>
        <w:rPr>
          <w:rFonts w:ascii="Arial" w:hAnsi="Arial" w:cs="Arial"/>
          <w:b/>
          <w:color w:val="1D1D1D"/>
          <w:sz w:val="20"/>
          <w:szCs w:val="20"/>
          <w:lang w:eastAsia="en-GB"/>
        </w:rPr>
        <w:t>)</w:t>
      </w:r>
      <w:r w:rsidRPr="001423EB">
        <w:rPr>
          <w:rFonts w:ascii="Arial" w:hAnsi="Arial" w:cs="Arial"/>
          <w:b/>
          <w:color w:val="1D1D1D"/>
          <w:sz w:val="20"/>
          <w:szCs w:val="20"/>
          <w:lang w:eastAsia="en-GB"/>
        </w:rPr>
        <w:t xml:space="preserve"> Screening Questions </w:t>
      </w:r>
    </w:p>
    <w:p w14:paraId="7741673D" w14:textId="77777777" w:rsidR="001423EB" w:rsidRPr="001423EB" w:rsidRDefault="001423EB" w:rsidP="001423EB">
      <w:pPr>
        <w:shd w:val="clear" w:color="auto" w:fill="FFFFFF"/>
        <w:spacing w:after="225"/>
        <w:rPr>
          <w:rFonts w:ascii="Arial" w:hAnsi="Arial" w:cs="Arial"/>
          <w:color w:val="1D1D1D"/>
          <w:sz w:val="20"/>
          <w:szCs w:val="20"/>
          <w:lang w:eastAsia="en-GB"/>
        </w:rPr>
      </w:pPr>
      <w:r w:rsidRPr="001423EB">
        <w:rPr>
          <w:rFonts w:ascii="Arial" w:hAnsi="Arial" w:cs="Arial"/>
          <w:color w:val="1D1D1D"/>
          <w:sz w:val="20"/>
          <w:szCs w:val="20"/>
          <w:lang w:eastAsia="en-GB"/>
        </w:rPr>
        <w:t>DPIAs should be undertaken for processing likely to be high risk. The Regulation does not define ‘high risk’ but the Information Commissioner’s Office has produced the checklist below for determining when assessments should be undertaken.</w:t>
      </w:r>
    </w:p>
    <w:p w14:paraId="23228121" w14:textId="77777777" w:rsidR="001423EB" w:rsidRPr="001423EB" w:rsidRDefault="001423EB" w:rsidP="001423EB">
      <w:pPr>
        <w:shd w:val="clear" w:color="auto" w:fill="FFFFFF"/>
        <w:spacing w:after="225"/>
        <w:rPr>
          <w:rFonts w:ascii="Arial" w:hAnsi="Arial" w:cs="Arial"/>
          <w:b/>
          <w:bCs/>
          <w:color w:val="1D1D1D"/>
          <w:sz w:val="20"/>
          <w:szCs w:val="20"/>
          <w:lang w:eastAsia="en-GB"/>
        </w:rPr>
      </w:pPr>
      <w:r w:rsidRPr="001423EB">
        <w:rPr>
          <w:rFonts w:ascii="Arial" w:hAnsi="Arial" w:cs="Arial"/>
          <w:b/>
          <w:bCs/>
          <w:color w:val="1D1D1D"/>
          <w:sz w:val="20"/>
          <w:szCs w:val="20"/>
          <w:lang w:eastAsia="en-GB"/>
        </w:rPr>
        <w:t>We will conduct a DPIA if we plan to do any of the following:</w:t>
      </w:r>
    </w:p>
    <w:tbl>
      <w:tblPr>
        <w:tblStyle w:val="TableGrid"/>
        <w:tblW w:w="0" w:type="auto"/>
        <w:tblLook w:val="04A0" w:firstRow="1" w:lastRow="0" w:firstColumn="1" w:lastColumn="0" w:noHBand="0" w:noVBand="1"/>
      </w:tblPr>
      <w:tblGrid>
        <w:gridCol w:w="7465"/>
        <w:gridCol w:w="1545"/>
      </w:tblGrid>
      <w:tr w:rsidR="001423EB" w:rsidRPr="001423EB" w14:paraId="072493C9" w14:textId="77777777" w:rsidTr="001423EB">
        <w:tc>
          <w:tcPr>
            <w:tcW w:w="7465" w:type="dxa"/>
            <w:shd w:val="clear" w:color="auto" w:fill="DEEAF6" w:themeFill="accent1" w:themeFillTint="33"/>
          </w:tcPr>
          <w:p w14:paraId="7DC08D1A" w14:textId="77777777" w:rsidR="001423EB" w:rsidRPr="001423EB" w:rsidRDefault="001423EB" w:rsidP="001423EB">
            <w:pPr>
              <w:spacing w:after="225"/>
              <w:jc w:val="center"/>
              <w:rPr>
                <w:rFonts w:ascii="Arial" w:eastAsia="Times New Roman" w:hAnsi="Arial" w:cs="Arial"/>
                <w:b/>
                <w:color w:val="1D1D1D"/>
                <w:sz w:val="20"/>
                <w:szCs w:val="20"/>
                <w:lang w:eastAsia="en-GB"/>
              </w:rPr>
            </w:pPr>
          </w:p>
        </w:tc>
        <w:tc>
          <w:tcPr>
            <w:tcW w:w="1545" w:type="dxa"/>
            <w:shd w:val="clear" w:color="auto" w:fill="DEEAF6" w:themeFill="accent1" w:themeFillTint="33"/>
          </w:tcPr>
          <w:p w14:paraId="5EF20E89" w14:textId="77777777" w:rsidR="001423EB" w:rsidRPr="001423EB" w:rsidRDefault="001423EB" w:rsidP="001423EB">
            <w:pPr>
              <w:spacing w:after="225"/>
              <w:jc w:val="center"/>
              <w:rPr>
                <w:rFonts w:ascii="Arial" w:hAnsi="Arial" w:cs="Arial"/>
                <w:b/>
                <w:color w:val="1D1D1D"/>
                <w:sz w:val="20"/>
                <w:szCs w:val="20"/>
                <w:lang w:eastAsia="en-GB"/>
              </w:rPr>
            </w:pPr>
            <w:r>
              <w:rPr>
                <w:rFonts w:ascii="Arial" w:hAnsi="Arial" w:cs="Arial"/>
                <w:b/>
                <w:color w:val="1D1D1D"/>
                <w:sz w:val="20"/>
                <w:szCs w:val="20"/>
                <w:lang w:eastAsia="en-GB"/>
              </w:rPr>
              <w:t>Tick</w:t>
            </w:r>
          </w:p>
        </w:tc>
      </w:tr>
      <w:tr w:rsidR="001423EB" w:rsidRPr="001423EB" w14:paraId="34FF3DE3" w14:textId="77777777" w:rsidTr="001423EB">
        <w:tc>
          <w:tcPr>
            <w:tcW w:w="7465" w:type="dxa"/>
          </w:tcPr>
          <w:p w14:paraId="21463CB8" w14:textId="77777777" w:rsidR="001423EB" w:rsidRPr="001423EB" w:rsidRDefault="001423EB" w:rsidP="001423EB">
            <w:pPr>
              <w:spacing w:after="225"/>
              <w:rPr>
                <w:rFonts w:ascii="Arial" w:hAnsi="Arial" w:cs="Arial"/>
                <w:color w:val="1D1D1D"/>
                <w:sz w:val="20"/>
                <w:szCs w:val="20"/>
                <w:lang w:eastAsia="en-GB"/>
              </w:rPr>
            </w:pPr>
            <w:r w:rsidRPr="001423EB">
              <w:rPr>
                <w:rFonts w:ascii="Arial" w:eastAsia="Times New Roman" w:hAnsi="Arial" w:cs="Arial"/>
                <w:color w:val="1D1D1D"/>
                <w:sz w:val="20"/>
                <w:szCs w:val="20"/>
                <w:lang w:eastAsia="en-GB"/>
              </w:rPr>
              <w:t>Use systematic and extensive profiling or automated decision-making to make significant decisions about people.</w:t>
            </w:r>
          </w:p>
        </w:tc>
        <w:tc>
          <w:tcPr>
            <w:tcW w:w="1545" w:type="dxa"/>
          </w:tcPr>
          <w:p w14:paraId="1E942940"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3A17B08E" w14:textId="77777777" w:rsidTr="001423EB">
        <w:tc>
          <w:tcPr>
            <w:tcW w:w="7465" w:type="dxa"/>
          </w:tcPr>
          <w:p w14:paraId="3EF60BCD"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Process special category data or criminal offence data on a large scale.</w:t>
            </w:r>
          </w:p>
        </w:tc>
        <w:tc>
          <w:tcPr>
            <w:tcW w:w="1545" w:type="dxa"/>
          </w:tcPr>
          <w:p w14:paraId="002F8541"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13A195C6" w14:textId="77777777" w:rsidTr="001423EB">
        <w:tc>
          <w:tcPr>
            <w:tcW w:w="7465" w:type="dxa"/>
          </w:tcPr>
          <w:p w14:paraId="39DD1C4B"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Systematically monitor a publicly accessible place on a large scale.</w:t>
            </w:r>
          </w:p>
        </w:tc>
        <w:tc>
          <w:tcPr>
            <w:tcW w:w="1545" w:type="dxa"/>
          </w:tcPr>
          <w:p w14:paraId="72932FE7"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240162FB" w14:textId="77777777" w:rsidTr="001423EB">
        <w:tc>
          <w:tcPr>
            <w:tcW w:w="7465" w:type="dxa"/>
          </w:tcPr>
          <w:p w14:paraId="38FB934A"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Use new technologies.</w:t>
            </w:r>
          </w:p>
        </w:tc>
        <w:tc>
          <w:tcPr>
            <w:tcW w:w="1545" w:type="dxa"/>
          </w:tcPr>
          <w:p w14:paraId="264E46DD"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43D811B6" w14:textId="77777777" w:rsidTr="001423EB">
        <w:tc>
          <w:tcPr>
            <w:tcW w:w="7465" w:type="dxa"/>
          </w:tcPr>
          <w:p w14:paraId="643EF0BA"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Use profiling, automated decision-making or special category data to help make decisions on someone’s access to a service, opportunity or benefit.</w:t>
            </w:r>
          </w:p>
        </w:tc>
        <w:tc>
          <w:tcPr>
            <w:tcW w:w="1545" w:type="dxa"/>
          </w:tcPr>
          <w:p w14:paraId="5DA5FC97"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30287AE2" w14:textId="77777777" w:rsidTr="001423EB">
        <w:tc>
          <w:tcPr>
            <w:tcW w:w="7465" w:type="dxa"/>
          </w:tcPr>
          <w:p w14:paraId="532C3953"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Carry out profiling on a large scale.</w:t>
            </w:r>
          </w:p>
        </w:tc>
        <w:tc>
          <w:tcPr>
            <w:tcW w:w="1545" w:type="dxa"/>
          </w:tcPr>
          <w:p w14:paraId="62A0068F"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50C0A655" w14:textId="77777777" w:rsidTr="001423EB">
        <w:tc>
          <w:tcPr>
            <w:tcW w:w="7465" w:type="dxa"/>
          </w:tcPr>
          <w:p w14:paraId="1BFF0F43"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Process biometric or genetic data.</w:t>
            </w:r>
          </w:p>
        </w:tc>
        <w:tc>
          <w:tcPr>
            <w:tcW w:w="1545" w:type="dxa"/>
          </w:tcPr>
          <w:p w14:paraId="22F94B0B"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1AEFB37A" w14:textId="77777777" w:rsidTr="001423EB">
        <w:tc>
          <w:tcPr>
            <w:tcW w:w="7465" w:type="dxa"/>
          </w:tcPr>
          <w:p w14:paraId="09B9F3B5"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Combine, compare or match data from multiple sources.</w:t>
            </w:r>
          </w:p>
        </w:tc>
        <w:tc>
          <w:tcPr>
            <w:tcW w:w="1545" w:type="dxa"/>
          </w:tcPr>
          <w:p w14:paraId="3DC71EA7"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1F6018B7" w14:textId="77777777" w:rsidTr="001423EB">
        <w:tc>
          <w:tcPr>
            <w:tcW w:w="7465" w:type="dxa"/>
          </w:tcPr>
          <w:p w14:paraId="78C51BBE"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Process personal data without providing a privacy notice directly to the individual.</w:t>
            </w:r>
          </w:p>
        </w:tc>
        <w:tc>
          <w:tcPr>
            <w:tcW w:w="1545" w:type="dxa"/>
          </w:tcPr>
          <w:p w14:paraId="3CC652B7" w14:textId="77777777" w:rsidR="001423EB" w:rsidRPr="001423EB" w:rsidRDefault="001423EB" w:rsidP="00593796">
            <w:pPr>
              <w:spacing w:after="225"/>
              <w:rPr>
                <w:rFonts w:ascii="Arial" w:hAnsi="Arial" w:cs="Arial"/>
                <w:color w:val="1D1D1D"/>
                <w:sz w:val="20"/>
                <w:szCs w:val="20"/>
                <w:lang w:eastAsia="en-GB"/>
              </w:rPr>
            </w:pPr>
          </w:p>
        </w:tc>
      </w:tr>
      <w:tr w:rsidR="001423EB" w:rsidRPr="001423EB" w14:paraId="3CC6B3E9" w14:textId="77777777" w:rsidTr="001423EB">
        <w:tc>
          <w:tcPr>
            <w:tcW w:w="7465" w:type="dxa"/>
          </w:tcPr>
          <w:p w14:paraId="44A0DCFA"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Process personal data in a way which involves tracking individuals’ online or offline location or behaviour.</w:t>
            </w:r>
          </w:p>
        </w:tc>
        <w:tc>
          <w:tcPr>
            <w:tcW w:w="1545" w:type="dxa"/>
          </w:tcPr>
          <w:p w14:paraId="6A4A3B02" w14:textId="77777777" w:rsidR="001423EB" w:rsidRPr="001423EB" w:rsidRDefault="001423EB" w:rsidP="00593796">
            <w:pPr>
              <w:spacing w:after="225"/>
              <w:rPr>
                <w:rFonts w:ascii="Arial" w:hAnsi="Arial" w:cs="Arial"/>
                <w:color w:val="1D1D1D"/>
                <w:sz w:val="20"/>
                <w:szCs w:val="20"/>
                <w:lang w:eastAsia="en-GB"/>
              </w:rPr>
            </w:pPr>
          </w:p>
        </w:tc>
      </w:tr>
      <w:tr w:rsidR="001423EB" w:rsidRPr="001423EB" w14:paraId="7525518D" w14:textId="77777777" w:rsidTr="001423EB">
        <w:tc>
          <w:tcPr>
            <w:tcW w:w="7465" w:type="dxa"/>
          </w:tcPr>
          <w:p w14:paraId="2DF0D8F9" w14:textId="77777777" w:rsidR="001423EB" w:rsidRPr="001423EB" w:rsidRDefault="001423EB" w:rsidP="001423EB">
            <w:pPr>
              <w:numPr>
                <w:ilvl w:val="0"/>
                <w:numId w:val="1"/>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Process children’s personal data for profiling or automated decision-making or for marketing purposes, or offer online services directly to them.</w:t>
            </w:r>
          </w:p>
        </w:tc>
        <w:tc>
          <w:tcPr>
            <w:tcW w:w="1545" w:type="dxa"/>
          </w:tcPr>
          <w:p w14:paraId="0BC08E72" w14:textId="77777777" w:rsidR="001423EB" w:rsidRPr="001423EB" w:rsidRDefault="001423EB" w:rsidP="00593796">
            <w:pPr>
              <w:spacing w:after="225"/>
              <w:rPr>
                <w:rFonts w:ascii="Arial" w:hAnsi="Arial" w:cs="Arial"/>
                <w:color w:val="1D1D1D"/>
                <w:sz w:val="20"/>
                <w:szCs w:val="20"/>
                <w:lang w:eastAsia="en-GB"/>
              </w:rPr>
            </w:pPr>
          </w:p>
        </w:tc>
      </w:tr>
      <w:tr w:rsidR="001423EB" w:rsidRPr="001423EB" w14:paraId="6CE671F5" w14:textId="77777777" w:rsidTr="001423EB">
        <w:tc>
          <w:tcPr>
            <w:tcW w:w="7465" w:type="dxa"/>
          </w:tcPr>
          <w:p w14:paraId="33B67985" w14:textId="77777777" w:rsidR="001423EB" w:rsidRPr="001423EB" w:rsidRDefault="001423EB" w:rsidP="001423EB">
            <w:pPr>
              <w:shd w:val="clear" w:color="auto" w:fill="FFFFFF"/>
              <w:spacing w:before="100" w:beforeAutospacing="1" w:after="75"/>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Process personal data which could result in a risk of physical harm in the event of a security breach.</w:t>
            </w:r>
          </w:p>
        </w:tc>
        <w:tc>
          <w:tcPr>
            <w:tcW w:w="1545" w:type="dxa"/>
          </w:tcPr>
          <w:p w14:paraId="7A60C159" w14:textId="77777777" w:rsidR="001423EB" w:rsidRPr="001423EB" w:rsidRDefault="001423EB" w:rsidP="00593796">
            <w:pPr>
              <w:spacing w:after="225"/>
              <w:rPr>
                <w:rFonts w:ascii="Arial" w:hAnsi="Arial" w:cs="Arial"/>
                <w:color w:val="1D1D1D"/>
                <w:sz w:val="20"/>
                <w:szCs w:val="20"/>
                <w:lang w:eastAsia="en-GB"/>
              </w:rPr>
            </w:pPr>
          </w:p>
        </w:tc>
      </w:tr>
    </w:tbl>
    <w:p w14:paraId="5FAEC34E" w14:textId="77777777" w:rsidR="001423EB" w:rsidRPr="001423EB" w:rsidRDefault="001423EB" w:rsidP="001423EB">
      <w:pPr>
        <w:shd w:val="clear" w:color="auto" w:fill="FFFFFF"/>
        <w:rPr>
          <w:rFonts w:ascii="Arial" w:eastAsia="Times New Roman" w:hAnsi="Arial" w:cs="Arial"/>
          <w:color w:val="1D1D1D"/>
          <w:sz w:val="20"/>
          <w:szCs w:val="20"/>
          <w:lang w:eastAsia="en-GB"/>
        </w:rPr>
      </w:pPr>
    </w:p>
    <w:p w14:paraId="4E87788D" w14:textId="77777777" w:rsidR="001423EB" w:rsidRPr="001423EB" w:rsidRDefault="001423EB" w:rsidP="001423EB">
      <w:pPr>
        <w:shd w:val="clear" w:color="auto" w:fill="FFFFFF"/>
        <w:rPr>
          <w:rFonts w:ascii="Arial" w:hAnsi="Arial" w:cs="Arial"/>
          <w:b/>
          <w:bCs/>
          <w:color w:val="1D1D1D"/>
          <w:sz w:val="20"/>
          <w:szCs w:val="20"/>
          <w:lang w:eastAsia="en-GB"/>
        </w:rPr>
      </w:pPr>
      <w:r w:rsidRPr="001423EB">
        <w:rPr>
          <w:rFonts w:ascii="Arial" w:hAnsi="Arial" w:cs="Arial"/>
          <w:b/>
          <w:bCs/>
          <w:color w:val="1D1D1D"/>
          <w:sz w:val="20"/>
          <w:szCs w:val="20"/>
          <w:lang w:eastAsia="en-GB"/>
        </w:rPr>
        <w:t>We will consider carrying out a DPIA if we plan to do any of the following:</w:t>
      </w:r>
    </w:p>
    <w:p w14:paraId="3E28A4AC" w14:textId="77777777" w:rsidR="001423EB" w:rsidRPr="001423EB" w:rsidRDefault="001423EB" w:rsidP="001423EB">
      <w:pPr>
        <w:shd w:val="clear" w:color="auto" w:fill="FFFFFF"/>
        <w:rPr>
          <w:rFonts w:ascii="Arial" w:hAnsi="Arial" w:cs="Arial"/>
          <w:b/>
          <w:bCs/>
          <w:color w:val="1D1D1D"/>
          <w:sz w:val="20"/>
          <w:szCs w:val="20"/>
          <w:lang w:eastAsia="en-GB"/>
        </w:rPr>
      </w:pPr>
    </w:p>
    <w:tbl>
      <w:tblPr>
        <w:tblStyle w:val="TableGrid"/>
        <w:tblW w:w="0" w:type="auto"/>
        <w:tblLook w:val="04A0" w:firstRow="1" w:lastRow="0" w:firstColumn="1" w:lastColumn="0" w:noHBand="0" w:noVBand="1"/>
      </w:tblPr>
      <w:tblGrid>
        <w:gridCol w:w="7465"/>
        <w:gridCol w:w="1545"/>
      </w:tblGrid>
      <w:tr w:rsidR="001423EB" w:rsidRPr="001423EB" w14:paraId="3D1A3A90" w14:textId="77777777" w:rsidTr="001423EB">
        <w:tc>
          <w:tcPr>
            <w:tcW w:w="7465" w:type="dxa"/>
            <w:shd w:val="clear" w:color="auto" w:fill="DEEAF6" w:themeFill="accent1" w:themeFillTint="33"/>
          </w:tcPr>
          <w:p w14:paraId="38422018" w14:textId="77777777" w:rsidR="001423EB" w:rsidRPr="001423EB" w:rsidRDefault="001423EB" w:rsidP="00593796">
            <w:pPr>
              <w:spacing w:after="225"/>
              <w:rPr>
                <w:rFonts w:ascii="Arial" w:eastAsia="Times New Roman" w:hAnsi="Arial" w:cs="Arial"/>
                <w:b/>
                <w:color w:val="1D1D1D"/>
                <w:sz w:val="20"/>
                <w:szCs w:val="20"/>
                <w:lang w:eastAsia="en-GB"/>
              </w:rPr>
            </w:pPr>
          </w:p>
        </w:tc>
        <w:tc>
          <w:tcPr>
            <w:tcW w:w="1545" w:type="dxa"/>
            <w:shd w:val="clear" w:color="auto" w:fill="DEEAF6" w:themeFill="accent1" w:themeFillTint="33"/>
          </w:tcPr>
          <w:p w14:paraId="5BD608BE" w14:textId="77777777" w:rsidR="001423EB" w:rsidRPr="001423EB" w:rsidRDefault="001423EB" w:rsidP="001423EB">
            <w:pPr>
              <w:spacing w:after="225"/>
              <w:jc w:val="center"/>
              <w:rPr>
                <w:rFonts w:ascii="Arial" w:hAnsi="Arial" w:cs="Arial"/>
                <w:b/>
                <w:color w:val="1D1D1D"/>
                <w:sz w:val="20"/>
                <w:szCs w:val="20"/>
                <w:lang w:eastAsia="en-GB"/>
              </w:rPr>
            </w:pPr>
            <w:r>
              <w:rPr>
                <w:rFonts w:ascii="Arial" w:hAnsi="Arial" w:cs="Arial"/>
                <w:b/>
                <w:color w:val="1D1D1D"/>
                <w:sz w:val="20"/>
                <w:szCs w:val="20"/>
                <w:lang w:eastAsia="en-GB"/>
              </w:rPr>
              <w:t>Tick</w:t>
            </w:r>
          </w:p>
        </w:tc>
      </w:tr>
      <w:tr w:rsidR="001423EB" w:rsidRPr="001423EB" w14:paraId="58A2C91B" w14:textId="77777777" w:rsidTr="001423EB">
        <w:tc>
          <w:tcPr>
            <w:tcW w:w="7465" w:type="dxa"/>
          </w:tcPr>
          <w:p w14:paraId="3245827A" w14:textId="77777777" w:rsidR="001423EB" w:rsidRPr="001423EB" w:rsidRDefault="001423EB" w:rsidP="001423EB">
            <w:pPr>
              <w:numPr>
                <w:ilvl w:val="0"/>
                <w:numId w:val="2"/>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Evaluation or scoring.</w:t>
            </w:r>
          </w:p>
        </w:tc>
        <w:tc>
          <w:tcPr>
            <w:tcW w:w="1545" w:type="dxa"/>
          </w:tcPr>
          <w:p w14:paraId="2FAB45D5"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37B4575C" w14:textId="77777777" w:rsidTr="001423EB">
        <w:tc>
          <w:tcPr>
            <w:tcW w:w="7465" w:type="dxa"/>
          </w:tcPr>
          <w:p w14:paraId="7809EAA5" w14:textId="77777777" w:rsidR="001423EB" w:rsidRPr="001423EB" w:rsidRDefault="001423EB" w:rsidP="001423EB">
            <w:pPr>
              <w:numPr>
                <w:ilvl w:val="0"/>
                <w:numId w:val="2"/>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Automated decision-making with significant effects.</w:t>
            </w:r>
          </w:p>
        </w:tc>
        <w:tc>
          <w:tcPr>
            <w:tcW w:w="1545" w:type="dxa"/>
          </w:tcPr>
          <w:p w14:paraId="2F7BB3FA"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7048B916" w14:textId="77777777" w:rsidTr="001423EB">
        <w:tc>
          <w:tcPr>
            <w:tcW w:w="7465" w:type="dxa"/>
          </w:tcPr>
          <w:p w14:paraId="1C884096" w14:textId="77777777" w:rsidR="001423EB" w:rsidRPr="001423EB" w:rsidRDefault="001423EB" w:rsidP="001423EB">
            <w:pPr>
              <w:numPr>
                <w:ilvl w:val="0"/>
                <w:numId w:val="2"/>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Systematic processing of sensitive data or data of a highly personal nature.</w:t>
            </w:r>
          </w:p>
        </w:tc>
        <w:tc>
          <w:tcPr>
            <w:tcW w:w="1545" w:type="dxa"/>
          </w:tcPr>
          <w:p w14:paraId="32227E01"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6E25C700" w14:textId="77777777" w:rsidTr="001423EB">
        <w:tc>
          <w:tcPr>
            <w:tcW w:w="7465" w:type="dxa"/>
          </w:tcPr>
          <w:p w14:paraId="30F18132" w14:textId="77777777" w:rsidR="001423EB" w:rsidRPr="001423EB" w:rsidRDefault="001423EB" w:rsidP="001423EB">
            <w:pPr>
              <w:numPr>
                <w:ilvl w:val="0"/>
                <w:numId w:val="2"/>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Processing on a large scale.</w:t>
            </w:r>
          </w:p>
        </w:tc>
        <w:tc>
          <w:tcPr>
            <w:tcW w:w="1545" w:type="dxa"/>
          </w:tcPr>
          <w:p w14:paraId="3BF62CE9" w14:textId="77777777" w:rsidR="001423EB" w:rsidRPr="001423EB" w:rsidRDefault="001423EB" w:rsidP="001423EB">
            <w:pPr>
              <w:spacing w:after="225"/>
              <w:rPr>
                <w:rFonts w:ascii="Arial" w:hAnsi="Arial" w:cs="Arial"/>
                <w:color w:val="1D1D1D"/>
                <w:sz w:val="20"/>
                <w:szCs w:val="20"/>
                <w:lang w:eastAsia="en-GB"/>
              </w:rPr>
            </w:pPr>
          </w:p>
        </w:tc>
      </w:tr>
      <w:tr w:rsidR="001423EB" w:rsidRPr="001423EB" w14:paraId="1070FF89" w14:textId="77777777" w:rsidTr="001423EB">
        <w:tc>
          <w:tcPr>
            <w:tcW w:w="7465" w:type="dxa"/>
          </w:tcPr>
          <w:p w14:paraId="3A503B78" w14:textId="77777777" w:rsidR="001423EB" w:rsidRPr="001423EB" w:rsidRDefault="001423EB" w:rsidP="001423EB">
            <w:pPr>
              <w:numPr>
                <w:ilvl w:val="0"/>
                <w:numId w:val="2"/>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Processing of data concerning vulnerable data subjects.</w:t>
            </w:r>
          </w:p>
        </w:tc>
        <w:tc>
          <w:tcPr>
            <w:tcW w:w="1545" w:type="dxa"/>
          </w:tcPr>
          <w:p w14:paraId="330636CC" w14:textId="77777777" w:rsidR="001423EB" w:rsidRPr="001423EB" w:rsidRDefault="001423EB" w:rsidP="00593796">
            <w:pPr>
              <w:spacing w:after="225"/>
              <w:rPr>
                <w:rFonts w:ascii="Arial" w:hAnsi="Arial" w:cs="Arial"/>
                <w:color w:val="1D1D1D"/>
                <w:sz w:val="20"/>
                <w:szCs w:val="20"/>
                <w:lang w:eastAsia="en-GB"/>
              </w:rPr>
            </w:pPr>
          </w:p>
        </w:tc>
      </w:tr>
      <w:tr w:rsidR="001423EB" w:rsidRPr="001423EB" w14:paraId="4501B929" w14:textId="77777777" w:rsidTr="001423EB">
        <w:tc>
          <w:tcPr>
            <w:tcW w:w="7465" w:type="dxa"/>
          </w:tcPr>
          <w:p w14:paraId="5A07F2ED" w14:textId="77777777" w:rsidR="001423EB" w:rsidRPr="001423EB" w:rsidRDefault="001423EB" w:rsidP="00593796">
            <w:pPr>
              <w:numPr>
                <w:ilvl w:val="0"/>
                <w:numId w:val="2"/>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Innovative technological or organisational solutions.</w:t>
            </w:r>
          </w:p>
        </w:tc>
        <w:tc>
          <w:tcPr>
            <w:tcW w:w="1545" w:type="dxa"/>
          </w:tcPr>
          <w:p w14:paraId="7DFF44DC" w14:textId="77777777" w:rsidR="001423EB" w:rsidRPr="001423EB" w:rsidRDefault="001423EB" w:rsidP="00593796">
            <w:pPr>
              <w:spacing w:after="225"/>
              <w:rPr>
                <w:rFonts w:ascii="Arial" w:hAnsi="Arial" w:cs="Arial"/>
                <w:color w:val="1D1D1D"/>
                <w:sz w:val="20"/>
                <w:szCs w:val="20"/>
                <w:lang w:eastAsia="en-GB"/>
              </w:rPr>
            </w:pPr>
          </w:p>
        </w:tc>
      </w:tr>
      <w:tr w:rsidR="001423EB" w:rsidRPr="001423EB" w14:paraId="08338567" w14:textId="77777777" w:rsidTr="001423EB">
        <w:tc>
          <w:tcPr>
            <w:tcW w:w="7465" w:type="dxa"/>
          </w:tcPr>
          <w:p w14:paraId="6E2942DE" w14:textId="77777777" w:rsidR="001423EB" w:rsidRPr="001423EB" w:rsidRDefault="001423EB" w:rsidP="001423EB">
            <w:pPr>
              <w:numPr>
                <w:ilvl w:val="0"/>
                <w:numId w:val="2"/>
              </w:numPr>
              <w:shd w:val="clear" w:color="auto" w:fill="FFFFFF"/>
              <w:spacing w:before="100" w:beforeAutospacing="1" w:after="75"/>
              <w:ind w:left="0"/>
              <w:rPr>
                <w:rFonts w:ascii="Arial" w:eastAsia="Times New Roman" w:hAnsi="Arial" w:cs="Arial"/>
                <w:color w:val="1D1D1D"/>
                <w:sz w:val="20"/>
                <w:szCs w:val="20"/>
                <w:lang w:eastAsia="en-GB"/>
              </w:rPr>
            </w:pPr>
            <w:r w:rsidRPr="001423EB">
              <w:rPr>
                <w:rFonts w:ascii="Arial" w:eastAsia="Times New Roman" w:hAnsi="Arial" w:cs="Arial"/>
                <w:color w:val="1D1D1D"/>
                <w:sz w:val="20"/>
                <w:szCs w:val="20"/>
                <w:lang w:eastAsia="en-GB"/>
              </w:rPr>
              <w:t>Processing involving preventing data subjects from exercising a right or using a service or contract.</w:t>
            </w:r>
          </w:p>
        </w:tc>
        <w:tc>
          <w:tcPr>
            <w:tcW w:w="1545" w:type="dxa"/>
          </w:tcPr>
          <w:p w14:paraId="3FF72AD8" w14:textId="77777777" w:rsidR="001423EB" w:rsidRPr="001423EB" w:rsidRDefault="001423EB" w:rsidP="001423EB">
            <w:pPr>
              <w:spacing w:after="225"/>
              <w:rPr>
                <w:rFonts w:ascii="Arial" w:hAnsi="Arial" w:cs="Arial"/>
                <w:color w:val="1D1D1D"/>
                <w:sz w:val="20"/>
                <w:szCs w:val="20"/>
                <w:lang w:eastAsia="en-GB"/>
              </w:rPr>
            </w:pPr>
          </w:p>
        </w:tc>
      </w:tr>
    </w:tbl>
    <w:p w14:paraId="3B91673B" w14:textId="77777777" w:rsidR="000D2771" w:rsidRPr="001423EB" w:rsidRDefault="000D2771" w:rsidP="001423EB">
      <w:pPr>
        <w:rPr>
          <w:rFonts w:ascii="Arial" w:hAnsi="Arial" w:cs="Arial"/>
          <w:sz w:val="20"/>
          <w:szCs w:val="20"/>
        </w:rPr>
      </w:pPr>
    </w:p>
    <w:sectPr w:rsidR="000D2771" w:rsidRPr="001423EB" w:rsidSect="007225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565"/>
    <w:multiLevelType w:val="multilevel"/>
    <w:tmpl w:val="EE9A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7332F6"/>
    <w:multiLevelType w:val="multilevel"/>
    <w:tmpl w:val="A80A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771"/>
    <w:rsid w:val="000D2771"/>
    <w:rsid w:val="001423EB"/>
    <w:rsid w:val="00196B5E"/>
    <w:rsid w:val="00685F94"/>
    <w:rsid w:val="0072250B"/>
    <w:rsid w:val="00A91943"/>
    <w:rsid w:val="00D9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4680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3EB"/>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1423EB"/>
    <w:rPr>
      <w:b/>
      <w:bCs/>
    </w:rPr>
  </w:style>
  <w:style w:type="table" w:styleId="TableGrid">
    <w:name w:val="Table Grid"/>
    <w:basedOn w:val="TableNormal"/>
    <w:uiPriority w:val="39"/>
    <w:rsid w:val="0014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5548">
      <w:bodyDiv w:val="1"/>
      <w:marLeft w:val="0"/>
      <w:marRight w:val="0"/>
      <w:marTop w:val="0"/>
      <w:marBottom w:val="0"/>
      <w:divBdr>
        <w:top w:val="none" w:sz="0" w:space="0" w:color="auto"/>
        <w:left w:val="none" w:sz="0" w:space="0" w:color="auto"/>
        <w:bottom w:val="none" w:sz="0" w:space="0" w:color="auto"/>
        <w:right w:val="none" w:sz="0" w:space="0" w:color="auto"/>
      </w:divBdr>
    </w:div>
    <w:div w:id="658311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Burt</dc:creator>
  <cp:keywords/>
  <dc:description/>
  <cp:lastModifiedBy>Philip Quinlan</cp:lastModifiedBy>
  <cp:revision>2</cp:revision>
  <dcterms:created xsi:type="dcterms:W3CDTF">2021-10-22T11:42:00Z</dcterms:created>
  <dcterms:modified xsi:type="dcterms:W3CDTF">2021-10-22T11:42:00Z</dcterms:modified>
</cp:coreProperties>
</file>